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5" w:name="icarus-orbital-systems-gap-analysis"/>
    <w:p>
      <w:pPr>
        <w:pStyle w:val="Heading1"/>
      </w:pPr>
      <w:r>
        <w:t xml:space="preserve">Icarus Orbital Systems — Gap Analysis</w:t>
      </w:r>
    </w:p>
    <w:p>
      <w:pPr>
        <w:pStyle w:val="BlockText"/>
      </w:pPr>
      <w:r>
        <w:rPr>
          <w:i/>
          <w:iCs/>
        </w:rPr>
        <w:t xml:space="preserve">What’s missing today vs. ISDC-ready and Phase-1-funding-ready. Ranked by blocking severity.</w:t>
      </w:r>
    </w:p>
    <w:p>
      <w:r>
        <w:pict>
          <v:rect style="width:0;height:1.5pt" o:hralign="center" o:hrstd="t" o:hr="t"/>
        </w:pict>
      </w:r>
    </w:p>
    <w:bookmarkStart w:id="9" w:name="critical-blocks-isdc-arrival"/>
    <w:p>
      <w:pPr>
        <w:pStyle w:val="Heading2"/>
      </w:pPr>
      <w:r>
        <w:t xml:space="preserve">CRITICAL — blocks ISDC arrival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#</w:t>
            </w:r>
          </w:p>
        </w:tc>
        <w:tc>
          <w:tcPr/>
          <w:p>
            <w:pPr>
              <w:pStyle w:val="Compact"/>
            </w:pPr>
            <w:r>
              <w:t xml:space="preserve">Gap</w:t>
            </w:r>
          </w:p>
        </w:tc>
        <w:tc>
          <w:tcPr/>
          <w:p>
            <w:pPr>
              <w:pStyle w:val="Compact"/>
            </w:pPr>
            <w:r>
              <w:t xml:space="preserve">Owner</w:t>
            </w:r>
          </w:p>
        </w:tc>
        <w:tc>
          <w:tcPr/>
          <w:p>
            <w:pPr>
              <w:pStyle w:val="Compact"/>
            </w:pPr>
            <w:r>
              <w:t xml:space="preserve">Unlock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Investor packet contact block</w:t>
            </w:r>
            <w:r>
              <w:t xml:space="preserve"> </w:t>
            </w:r>
            <w:r>
              <w:t xml:space="preserve">(email · phone · Calendly · address)</w:t>
            </w:r>
          </w:p>
        </w:tc>
        <w:tc>
          <w:tcPr/>
          <w:p>
            <w:pPr>
              <w:pStyle w:val="Compact"/>
            </w:pPr>
            <w:r>
              <w:t xml:space="preserve">Sandi</w:t>
            </w:r>
          </w:p>
        </w:tc>
        <w:tc>
          <w:tcPr/>
          <w:p>
            <w:pPr>
              <w:pStyle w:val="Compact"/>
            </w:pPr>
            <w:r>
              <w:t xml:space="preserve">5 min once values confirmed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Designer hand-off</w:t>
            </w:r>
            <w:r>
              <w:t xml:space="preserve"> </w:t>
            </w:r>
            <w:r>
              <w:t xml:space="preserve">for packet HTML → print PDF</w:t>
            </w:r>
          </w:p>
        </w:tc>
        <w:tc>
          <w:tcPr/>
          <w:p>
            <w:pPr>
              <w:pStyle w:val="Compact"/>
            </w:pPr>
            <w:r>
              <w:t xml:space="preserve">Sandi · designer</w:t>
            </w:r>
          </w:p>
        </w:tc>
        <w:tc>
          <w:tcPr/>
          <w:p>
            <w:pPr>
              <w:pStyle w:val="Compact"/>
            </w:pPr>
            <w:r>
              <w:t xml:space="preserve">1 brief + ~7 day turnaround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Packet hosting URL decision</w:t>
            </w:r>
            <w:r>
              <w:t xml:space="preserve"> </w:t>
            </w:r>
            <w:r>
              <w:t xml:space="preserve">(icarusorbital.com · shawnedecker.com · Drive)</w:t>
            </w:r>
          </w:p>
        </w:tc>
        <w:tc>
          <w:tcPr/>
          <w:p>
            <w:pPr>
              <w:pStyle w:val="Compact"/>
            </w:pPr>
            <w:r>
              <w:t xml:space="preserve">Sandi + Shawn</w:t>
            </w:r>
          </w:p>
        </w:tc>
        <w:tc>
          <w:tcPr/>
          <w:p>
            <w:pPr>
              <w:pStyle w:val="Compact"/>
            </w:pPr>
            <w:r>
              <w:t xml:space="preserve">30 min decision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Real QR for flyer</w:t>
            </w:r>
            <w:r>
              <w:t xml:space="preserve"> </w:t>
            </w:r>
            <w:r>
              <w:t xml:space="preserve">(encoding the hosted packet URL)</w:t>
            </w:r>
          </w:p>
        </w:tc>
        <w:tc>
          <w:tcPr/>
          <w:p>
            <w:pPr>
              <w:pStyle w:val="Compact"/>
            </w:pPr>
            <w:r>
              <w:t xml:space="preserve">Sandi · post-hosting decision</w:t>
            </w:r>
          </w:p>
        </w:tc>
        <w:tc>
          <w:tcPr/>
          <w:p>
            <w:pPr>
              <w:pStyle w:val="Compact"/>
            </w:pPr>
            <w:r>
              <w:t xml:space="preserve">5 min once URL stable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NASA Langley advisor naming policy</w:t>
            </w:r>
            <w:r>
              <w:t xml:space="preserve"> </w:t>
            </w:r>
            <w:r>
              <w:t xml:space="preserve">(open · on-request · remove)</w:t>
            </w:r>
          </w:p>
        </w:tc>
        <w:tc>
          <w:tcPr/>
          <w:p>
            <w:pPr>
              <w:pStyle w:val="Compact"/>
            </w:pPr>
            <w:r>
              <w:t xml:space="preserve">Sandi + Troy + advisor</w:t>
            </w:r>
          </w:p>
        </w:tc>
        <w:tc>
          <w:tcPr/>
          <w:p>
            <w:pPr>
              <w:pStyle w:val="Compact"/>
            </w:pPr>
            <w:r>
              <w:t xml:space="preserve">Coordinate with advisor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0" w:name="high-improves-isdc-outcomes"/>
    <w:p>
      <w:pPr>
        <w:pStyle w:val="Heading2"/>
      </w:pPr>
      <w:r>
        <w:t xml:space="preserve">HIGH — improves ISDC outcomes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#</w:t>
            </w:r>
          </w:p>
        </w:tc>
        <w:tc>
          <w:tcPr/>
          <w:p>
            <w:pPr>
              <w:pStyle w:val="Compact"/>
            </w:pPr>
            <w:r>
              <w:t xml:space="preserve">Gap</w:t>
            </w:r>
          </w:p>
        </w:tc>
        <w:tc>
          <w:tcPr/>
          <w:p>
            <w:pPr>
              <w:pStyle w:val="Compact"/>
            </w:pPr>
            <w:r>
              <w:t xml:space="preserve">Effort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ESA 2024 number verified to exact figure</w:t>
            </w:r>
            <w:r>
              <w:t xml:space="preserve"> </w:t>
            </w:r>
            <w:r>
              <w:t xml:space="preserve">(currently sourced</w:t>
            </w:r>
            <w:r>
              <w:t xml:space="preserve"> </w:t>
            </w:r>
            <w:r>
              <w:t xml:space="preserve">“130M+ &gt;1mm”</w:t>
            </w:r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t xml:space="preserve">30 min source pull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Conference table location confirmed</w:t>
            </w:r>
          </w:p>
        </w:tc>
        <w:tc>
          <w:tcPr/>
          <w:p>
            <w:pPr>
              <w:pStyle w:val="Compact"/>
            </w:pPr>
            <w:r>
              <w:t xml:space="preserve">1 email to organizer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iPad demo loop prepared</w:t>
            </w:r>
            <w:r>
              <w:t xml:space="preserve"> </w:t>
            </w:r>
            <w:r>
              <w:t xml:space="preserve">(PPTX deck · Dragonfly portfolio HTML · 5-min auto-loop)</w:t>
            </w:r>
          </w:p>
        </w:tc>
        <w:tc>
          <w:tcPr/>
          <w:p>
            <w:pPr>
              <w:pStyle w:val="Compact"/>
            </w:pPr>
            <w:r>
              <w:t xml:space="preserve">1 sitting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Conference travel + lodging booked</w:t>
            </w:r>
          </w:p>
        </w:tc>
        <w:tc>
          <w:tcPr/>
          <w:p>
            <w:pPr>
              <w:pStyle w:val="Compact"/>
            </w:pPr>
            <w:r>
              <w:t xml:space="preserve">1 sitting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Backup printed copies in case primary stash damaged</w:t>
            </w:r>
          </w:p>
        </w:tc>
        <w:tc>
          <w:tcPr/>
          <w:p>
            <w:pPr>
              <w:pStyle w:val="Compact"/>
            </w:pPr>
            <w:r>
              <w:t xml:space="preserve">bulk print order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0"/>
    <w:bookmarkStart w:id="11" w:name="medium-phase-1-funding-readiness"/>
    <w:p>
      <w:pPr>
        <w:pStyle w:val="Heading2"/>
      </w:pPr>
      <w:r>
        <w:t xml:space="preserve">MEDIUM — Phase 1 funding readiness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#</w:t>
            </w:r>
          </w:p>
        </w:tc>
        <w:tc>
          <w:tcPr/>
          <w:p>
            <w:pPr>
              <w:pStyle w:val="Compact"/>
            </w:pPr>
            <w:r>
              <w:t xml:space="preserve">Gap</w:t>
            </w:r>
          </w:p>
        </w:tc>
        <w:tc>
          <w:tcPr/>
          <w:p>
            <w:pPr>
              <w:pStyle w:val="Compact"/>
            </w:pPr>
            <w:r>
              <w:t xml:space="preserve">Why</w:t>
            </w:r>
          </w:p>
        </w:tc>
      </w:tr>
      <w:tr>
        <w:tc>
          <w:tcPr/>
          <w:p>
            <w:pPr>
              <w:pStyle w:val="Compact"/>
            </w:pPr>
            <w:r>
              <w:t xml:space="preserve">11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Specific raise size + instrument</w:t>
            </w:r>
            <w:r>
              <w:t xml:space="preserve"> </w:t>
            </w:r>
            <w:r>
              <w:t xml:space="preserve">(SAFE? priced round? convertible?)</w:t>
            </w:r>
          </w:p>
        </w:tc>
        <w:tc>
          <w:tcPr/>
          <w:p>
            <w:pPr>
              <w:pStyle w:val="Compact"/>
            </w:pPr>
            <w:r>
              <w:t xml:space="preserve">Conversation-by-conversation now; lock before lead investor identified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Cap table model</w:t>
            </w:r>
            <w:r>
              <w:t xml:space="preserve"> </w:t>
            </w:r>
            <w:r>
              <w:t xml:space="preserve">(founders · advisors · option pool · target raise dilution)</w:t>
            </w:r>
          </w:p>
        </w:tc>
        <w:tc>
          <w:tcPr/>
          <w:p>
            <w:pPr>
              <w:pStyle w:val="Compact"/>
            </w:pPr>
            <w:r>
              <w:t xml:space="preserve">Required by serious investors</w:t>
            </w:r>
          </w:p>
        </w:tc>
      </w:tr>
      <w:tr>
        <w:tc>
          <w:tcPr/>
          <w:p>
            <w:pPr>
              <w:pStyle w:val="Compact"/>
            </w:pPr>
            <w:r>
              <w:t xml:space="preserve">13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Use-of-funds breakdown</w:t>
            </w:r>
            <w:r>
              <w:t xml:space="preserve"> </w:t>
            </w:r>
            <w:r>
              <w:t xml:space="preserve">for the raise</w:t>
            </w:r>
          </w:p>
        </w:tc>
        <w:tc>
          <w:tcPr/>
          <w:p>
            <w:pPr>
              <w:pStyle w:val="Compact"/>
            </w:pPr>
            <w:r>
              <w:t xml:space="preserve">Standard diligence ask</w:t>
            </w:r>
          </w:p>
        </w:tc>
      </w:tr>
      <w:tr>
        <w:tc>
          <w:tcPr/>
          <w:p>
            <w:pPr>
              <w:pStyle w:val="Compact"/>
            </w:pPr>
            <w:r>
              <w:t xml:space="preserve">14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Diligence room</w:t>
            </w:r>
            <w:r>
              <w:t xml:space="preserve"> </w:t>
            </w:r>
            <w:r>
              <w:t xml:space="preserve">(data room with all source files · contracts · IP filings)</w:t>
            </w:r>
          </w:p>
        </w:tc>
        <w:tc>
          <w:tcPr/>
          <w:p>
            <w:pPr>
              <w:pStyle w:val="Compact"/>
            </w:pPr>
            <w:r>
              <w:t xml:space="preserve">Before serious diligence begins</w:t>
            </w:r>
          </w:p>
        </w:tc>
      </w:tr>
      <w:tr>
        <w:tc>
          <w:tcPr/>
          <w:p>
            <w:pPr>
              <w:pStyle w:val="Compact"/>
            </w:pPr>
            <w:r>
              <w:t xml:space="preserve">15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References Sandi/Troy will provide</w:t>
            </w:r>
          </w:p>
        </w:tc>
        <w:tc>
          <w:tcPr/>
          <w:p>
            <w:pPr>
              <w:pStyle w:val="Compact"/>
            </w:pPr>
            <w:r>
              <w:t xml:space="preserve">3-5 names ready before any lead investor asks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1"/>
    <w:bookmarkStart w:id="12" w:name="low-defer"/>
    <w:p>
      <w:pPr>
        <w:pStyle w:val="Heading2"/>
      </w:pPr>
      <w:r>
        <w:t xml:space="preserve">LOW — defer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#</w:t>
            </w:r>
          </w:p>
        </w:tc>
        <w:tc>
          <w:tcPr/>
          <w:p>
            <w:pPr>
              <w:pStyle w:val="Compact"/>
            </w:pPr>
            <w:r>
              <w:t xml:space="preserve">Item</w:t>
            </w:r>
          </w:p>
        </w:tc>
        <w:tc>
          <w:tcPr/>
          <w:p>
            <w:pPr>
              <w:pStyle w:val="Compact"/>
            </w:pPr>
            <w:r>
              <w:t xml:space="preserve">Why defer</w:t>
            </w:r>
          </w:p>
        </w:tc>
      </w:tr>
      <w:tr>
        <w:tc>
          <w:tcPr/>
          <w:p>
            <w:pPr>
              <w:pStyle w:val="Compact"/>
            </w:pPr>
            <w:r>
              <w:t xml:space="preserve">16</w:t>
            </w:r>
          </w:p>
        </w:tc>
        <w:tc>
          <w:tcPr/>
          <w:p>
            <w:pPr>
              <w:pStyle w:val="Compact"/>
            </w:pPr>
            <w:r>
              <w:t xml:space="preserve">Custom domain icarusorbital.com if unregistered</w:t>
            </w:r>
          </w:p>
        </w:tc>
        <w:tc>
          <w:tcPr/>
          <w:p>
            <w:pPr>
              <w:pStyle w:val="Compact"/>
            </w:pPr>
            <w:r>
              <w:t xml:space="preserve">Can use shawnedecker.com or temporary path until raise closes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17</w:t>
            </w:r>
          </w:p>
        </w:tc>
        <w:tc>
          <w:tcPr/>
          <w:p>
            <w:pPr>
              <w:pStyle w:val="Compact"/>
            </w:pPr>
            <w:r>
              <w:t xml:space="preserve">Full IP filings (patents · trademarks)</w:t>
            </w:r>
          </w:p>
        </w:tc>
        <w:tc>
          <w:tcPr/>
          <w:p>
            <w:pPr>
              <w:pStyle w:val="Compact"/>
            </w:pPr>
            <w:r>
              <w:t xml:space="preserve">Phase 2+ work · pre-seed too early</w:t>
            </w:r>
          </w:p>
        </w:tc>
      </w:tr>
      <w:tr>
        <w:tc>
          <w:tcPr/>
          <w:p>
            <w:pPr>
              <w:pStyle w:val="Compact"/>
            </w:pPr>
            <w:r>
              <w:t xml:space="preserve">18</w:t>
            </w:r>
          </w:p>
        </w:tc>
        <w:tc>
          <w:tcPr/>
          <w:p>
            <w:pPr>
              <w:pStyle w:val="Compact"/>
            </w:pPr>
            <w:r>
              <w:t xml:space="preserve">Press kit beyond bare media-kit</w:t>
            </w:r>
          </w:p>
        </w:tc>
        <w:tc>
          <w:tcPr/>
          <w:p>
            <w:pPr>
              <w:pStyle w:val="Compact"/>
            </w:pPr>
            <w:r>
              <w:t xml:space="preserve">Wait until milestone worth announcing</w:t>
            </w:r>
          </w:p>
        </w:tc>
      </w:tr>
      <w:tr>
        <w:tc>
          <w:tcPr/>
          <w:p>
            <w:pPr>
              <w:pStyle w:val="Compact"/>
            </w:pPr>
            <w:r>
              <w:t xml:space="preserve">19</w:t>
            </w:r>
          </w:p>
        </w:tc>
        <w:tc>
          <w:tcPr/>
          <w:p>
            <w:pPr>
              <w:pStyle w:val="Compact"/>
            </w:pPr>
            <w:r>
              <w:t xml:space="preserve">Secondary investor segments (corporate VC · sovereign · family office)</w:t>
            </w:r>
          </w:p>
        </w:tc>
        <w:tc>
          <w:tcPr/>
          <w:p>
            <w:pPr>
              <w:pStyle w:val="Compact"/>
            </w:pPr>
            <w:r>
              <w:t xml:space="preserve">Focus on aerospace-experienced VC for Phase 1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2"/>
    <w:bookmarkStart w:id="13" w:name="closing-the-critical-path"/>
    <w:p>
      <w:pPr>
        <w:pStyle w:val="Heading2"/>
      </w:pPr>
      <w:r>
        <w:t xml:space="preserve">Closing the critical path</w:t>
      </w:r>
    </w:p>
    <w:p>
      <w:pPr>
        <w:pStyle w:val="SourceCode"/>
      </w:pPr>
      <w:r>
        <w:rPr>
          <w:rStyle w:val="VerbatimChar"/>
        </w:rPr>
        <w:t xml:space="preserve">flowchart TD</w:t>
      </w:r>
      <w:r>
        <w:br/>
      </w:r>
      <w:r>
        <w:rPr>
          <w:rStyle w:val="VerbatimChar"/>
        </w:rPr>
        <w:t xml:space="preserve">    A[Day 1: contact block confirmed] --&gt; B[Day 1: designer brief sent]</w:t>
      </w:r>
      <w:r>
        <w:br/>
      </w:r>
      <w:r>
        <w:rPr>
          <w:rStyle w:val="VerbatimChar"/>
        </w:rPr>
        <w:t xml:space="preserve">    B --&gt; C[Day 7: designer typeset PDF returned]</w:t>
      </w:r>
      <w:r>
        <w:br/>
      </w:r>
      <w:r>
        <w:rPr>
          <w:rStyle w:val="VerbatimChar"/>
        </w:rPr>
        <w:t xml:space="preserve">    C --&gt; D[Day 8: print test copy]</w:t>
      </w:r>
      <w:r>
        <w:br/>
      </w:r>
      <w:r>
        <w:rPr>
          <w:rStyle w:val="VerbatimChar"/>
        </w:rPr>
        <w:t xml:space="preserve">    D --&gt; E{Print quality OK?}</w:t>
      </w:r>
      <w:r>
        <w:br/>
      </w:r>
      <w:r>
        <w:rPr>
          <w:rStyle w:val="VerbatimChar"/>
        </w:rPr>
        <w:t xml:space="preserve">    E --&gt;|no| F[Day 9-10: re-typeset]</w:t>
      </w:r>
      <w:r>
        <w:br/>
      </w:r>
      <w:r>
        <w:rPr>
          <w:rStyle w:val="VerbatimChar"/>
        </w:rPr>
        <w:t xml:space="preserve">    E --&gt;|yes| G[Day 10: hosting URL decided]</w:t>
      </w:r>
      <w:r>
        <w:br/>
      </w:r>
      <w:r>
        <w:rPr>
          <w:rStyle w:val="VerbatimChar"/>
        </w:rPr>
        <w:t xml:space="preserve">    F --&gt; G</w:t>
      </w:r>
      <w:r>
        <w:br/>
      </w:r>
      <w:r>
        <w:rPr>
          <w:rStyle w:val="VerbatimChar"/>
        </w:rPr>
        <w:t xml:space="preserve">    G --&gt; H[Day 11: real QR generated]</w:t>
      </w:r>
      <w:r>
        <w:br/>
      </w:r>
      <w:r>
        <w:rPr>
          <w:rStyle w:val="VerbatimChar"/>
        </w:rPr>
        <w:t xml:space="preserve">    H --&gt; I[Day 12: flyer print test]</w:t>
      </w:r>
      <w:r>
        <w:br/>
      </w:r>
      <w:r>
        <w:rPr>
          <w:rStyle w:val="VerbatimChar"/>
        </w:rPr>
        <w:t xml:space="preserve">    I --&gt; J{Flyer OK?}</w:t>
      </w:r>
      <w:r>
        <w:br/>
      </w:r>
      <w:r>
        <w:rPr>
          <w:rStyle w:val="VerbatimChar"/>
        </w:rPr>
        <w:t xml:space="preserve">    J --&gt;|no| K[Re-print]</w:t>
      </w:r>
      <w:r>
        <w:br/>
      </w:r>
      <w:r>
        <w:rPr>
          <w:rStyle w:val="VerbatimChar"/>
        </w:rPr>
        <w:t xml:space="preserve">    J --&gt;|yes| L[Day 14-21: production print run]</w:t>
      </w:r>
      <w:r>
        <w:br/>
      </w:r>
      <w:r>
        <w:rPr>
          <w:rStyle w:val="VerbatimChar"/>
        </w:rPr>
        <w:t xml:space="preserve">    K --&gt; L</w:t>
      </w:r>
      <w:r>
        <w:br/>
      </w:r>
      <w:r>
        <w:rPr>
          <w:rStyle w:val="VerbatimChar"/>
        </w:rPr>
        <w:t xml:space="preserve">    L --&gt; M[Day 21+: shipping or hand-carry to ISDC]</w:t>
      </w:r>
      <w:r>
        <w:br/>
      </w:r>
      <w:r>
        <w:br/>
      </w:r>
      <w:r>
        <w:rPr>
          <w:rStyle w:val="VerbatimChar"/>
        </w:rPr>
        <w:t xml:space="preserve">    style A fill:#1F4D4A,stroke:#163A38,color:#fff</w:t>
      </w:r>
      <w:r>
        <w:br/>
      </w:r>
      <w:r>
        <w:rPr>
          <w:rStyle w:val="VerbatimChar"/>
        </w:rPr>
        <w:t xml:space="preserve">    style M fill:#3D7A4E,stroke:#1F4D4A,color:#fff</w:t>
      </w:r>
    </w:p>
    <w:p>
      <w:r>
        <w:pict>
          <v:rect style="width:0;height:1.5pt" o:hralign="center" o:hrstd="t" o:hr="t"/>
        </w:pict>
      </w:r>
    </w:p>
    <w:bookmarkEnd w:id="13"/>
    <w:bookmarkStart w:id="14" w:name="cross-references"/>
    <w:p>
      <w:pPr>
        <w:pStyle w:val="Heading2"/>
      </w:pPr>
      <w:r>
        <w:t xml:space="preserve">Cross-references</w:t>
      </w:r>
    </w:p>
    <w:p>
      <w:pPr>
        <w:pStyle w:val="Compact"/>
        <w:numPr>
          <w:ilvl w:val="0"/>
          <w:numId w:val="1001"/>
        </w:numPr>
      </w:pPr>
      <w:r>
        <w:t xml:space="preserve">[[02_action_plan]] · [[06_quick_start]]</w:t>
      </w:r>
    </w:p>
    <w:p>
      <w:pPr>
        <w:pStyle w:val="Compact"/>
        <w:numPr>
          <w:ilvl w:val="0"/>
          <w:numId w:val="1001"/>
        </w:numPr>
      </w:pPr>
      <w:r>
        <w:t xml:space="preserve">[[../../../../sandi-system-engine/_knowledge/TIER_1_ACTION_CARDS]] T1-C, T1-D</w:t>
      </w:r>
    </w:p>
    <w:bookmarkEnd w:id="14"/>
    <w:bookmarkEnd w:id="15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2026-04-29T17:53:21Z</dcterms:created>
  <dcterms:modified xsi:type="dcterms:W3CDTF">2026-04-29T17:53:21Z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">
    <vt:lpwstr>05_gap_analysis</vt:lpwstr>
  </property>
  <property fmtid="{D5CDD505-2E9C-101B-9397-08002B2CF9AE}" pid="3" name="last_audited">
    <vt:lpwstr>2026-04-29</vt:lpwstr>
  </property>
  <property fmtid="{D5CDD505-2E9C-101B-9397-08002B2CF9AE}" pid="4" name="project">
    <vt:lpwstr>icarus-orbital-systems</vt:lpwstr>
  </property>
  <property fmtid="{D5CDD505-2E9C-101B-9397-08002B2CF9AE}" pid="5" name="status">
    <vt:lpwstr>open</vt:lpwstr>
  </property>
  <property fmtid="{D5CDD505-2E9C-101B-9397-08002B2CF9AE}" pid="6" name="tags">
    <vt:lpwstr/>
  </property>
</Properties>
</file>