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21" w:name="icarus-orbital-systems-action-plan"/>
    <w:p>
      <w:pPr>
        <w:pStyle w:val="Heading1"/>
      </w:pPr>
      <w:r>
        <w:t xml:space="preserve">Icarus Orbital Systems — Action Plan</w:t>
      </w:r>
    </w:p>
    <w:p>
      <w:pPr>
        <w:pStyle w:val="BlockText"/>
      </w:pPr>
      <w:r>
        <w:rPr>
          <w:i/>
          <w:iCs/>
        </w:rPr>
        <w:t xml:space="preserve">90-day window from now through ISDC. Each item is one sitting at her energy budget.</w:t>
      </w:r>
    </w:p>
    <w:p>
      <w:r>
        <w:pict>
          <v:rect style="width:0;height:1.5pt" o:hralign="center" o:hrstd="t" o:hr="t"/>
        </w:pict>
      </w:r>
    </w:p>
    <w:bookmarkStart w:id="9" w:name="the-isdc-critical-path"/>
    <w:p>
      <w:pPr>
        <w:pStyle w:val="Heading2"/>
      </w:pPr>
      <w:r>
        <w:t xml:space="preserve">The ISDC critical path</w:t>
      </w:r>
    </w:p>
    <w:p>
      <w:pPr>
        <w:pStyle w:val="SourceCode"/>
      </w:pPr>
      <w:r>
        <w:rPr>
          <w:rStyle w:val="VerbatimChar"/>
        </w:rPr>
        <w:t xml:space="preserve">gantt</w:t>
      </w:r>
      <w:r>
        <w:br/>
      </w:r>
      <w:r>
        <w:rPr>
          <w:rStyle w:val="VerbatimChar"/>
        </w:rPr>
        <w:t xml:space="preserve">    title Icarus pre-ISDC critical path</w:t>
      </w:r>
      <w:r>
        <w:br/>
      </w:r>
      <w:r>
        <w:rPr>
          <w:rStyle w:val="VerbatimChar"/>
        </w:rPr>
        <w:t xml:space="preserve">    dateFormat YYYY-MM-DD</w:t>
      </w:r>
      <w:r>
        <w:br/>
      </w:r>
      <w:r>
        <w:rPr>
          <w:rStyle w:val="VerbatimChar"/>
        </w:rPr>
        <w:t xml:space="preserve">    axisFormat %b %d</w:t>
      </w:r>
      <w:r>
        <w:br/>
      </w:r>
      <w:r>
        <w:rPr>
          <w:rStyle w:val="VerbatimChar"/>
        </w:rPr>
        <w:t xml:space="preserve">    section Investor packet</w:t>
      </w:r>
      <w:r>
        <w:br/>
      </w:r>
      <w:r>
        <w:rPr>
          <w:rStyle w:val="VerbatimChar"/>
        </w:rPr>
        <w:t xml:space="preserve">    Pull content from PPTX :a1, 2026-04-29, 3d</w:t>
      </w:r>
      <w:r>
        <w:br/>
      </w:r>
      <w:r>
        <w:rPr>
          <w:rStyle w:val="VerbatimChar"/>
        </w:rPr>
        <w:t xml:space="preserve">    Designer typesets to PDF :a2, after a1, 7d</w:t>
      </w:r>
      <w:r>
        <w:br/>
      </w:r>
      <w:r>
        <w:rPr>
          <w:rStyle w:val="VerbatimChar"/>
        </w:rPr>
        <w:t xml:space="preserve">    Print test copy :a3, after a2, 2d</w:t>
      </w:r>
      <w:r>
        <w:br/>
      </w:r>
      <w:r>
        <w:rPr>
          <w:rStyle w:val="VerbatimChar"/>
        </w:rPr>
        <w:t xml:space="preserve">    Final print run :a4, after a3, 3d</w:t>
      </w:r>
      <w:r>
        <w:br/>
      </w:r>
      <w:r>
        <w:rPr>
          <w:rStyle w:val="VerbatimChar"/>
        </w:rPr>
        <w:t xml:space="preserve">    section Recruitment flyer</w:t>
      </w:r>
      <w:r>
        <w:br/>
      </w:r>
      <w:r>
        <w:rPr>
          <w:rStyle w:val="VerbatimChar"/>
        </w:rPr>
        <w:t xml:space="preserve">    Generate real QR (post packet host) :b1, after a2, 1d</w:t>
      </w:r>
      <w:r>
        <w:br/>
      </w:r>
      <w:r>
        <w:rPr>
          <w:rStyle w:val="VerbatimChar"/>
        </w:rPr>
        <w:t xml:space="preserve">    Print test :b2, after b1, 2d</w:t>
      </w:r>
      <w:r>
        <w:br/>
      </w:r>
      <w:r>
        <w:rPr>
          <w:rStyle w:val="VerbatimChar"/>
        </w:rPr>
        <w:t xml:space="preserve">    Final print run :b3, after b2, 2d</w:t>
      </w:r>
      <w:r>
        <w:br/>
      </w:r>
      <w:r>
        <w:rPr>
          <w:rStyle w:val="VerbatimChar"/>
        </w:rPr>
        <w:t xml:space="preserve">    section Logistics</w:t>
      </w:r>
      <w:r>
        <w:br/>
      </w:r>
      <w:r>
        <w:rPr>
          <w:rStyle w:val="VerbatimChar"/>
        </w:rPr>
        <w:t xml:space="preserve">    Confirm conference table :c1, 2026-04-29, 5d</w:t>
      </w:r>
      <w:r>
        <w:br/>
      </w:r>
      <w:r>
        <w:rPr>
          <w:rStyle w:val="VerbatimChar"/>
        </w:rPr>
        <w:t xml:space="preserve">    Travel + lodging booked :c2, 2026-04-29, 7d</w:t>
      </w:r>
      <w:r>
        <w:br/>
      </w:r>
      <w:r>
        <w:rPr>
          <w:rStyle w:val="VerbatimChar"/>
        </w:rPr>
        <w:t xml:space="preserve">    Demo deck rehearsal :c3, after a3, 5d</w:t>
      </w:r>
    </w:p>
    <w:p>
      <w:r>
        <w:pict>
          <v:rect style="width:0;height:1.5pt" o:hralign="center" o:hrstd="t" o:hr="t"/>
        </w:pict>
      </w:r>
    </w:p>
    <w:bookmarkEnd w:id="9"/>
    <w:bookmarkStart w:id="14" w:name="X8e98fa60a7a8c75488a89f7b07efbe54a58dad6"/>
    <w:p>
      <w:pPr>
        <w:pStyle w:val="Heading2"/>
      </w:pPr>
      <w:r>
        <w:t xml:space="preserve">Phase 1 — Pre-conference materials (Days 1-30)</w:t>
      </w:r>
    </w:p>
    <w:bookmarkStart w:id="10" w:name="week-1-content-lock"/>
    <w:p>
      <w:pPr>
        <w:pStyle w:val="Heading3"/>
      </w:pPr>
      <w:r>
        <w:t xml:space="preserve">Week 1: Content lock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Day 1-2 (HARD):</w:t>
      </w:r>
      <w:r>
        <w:t xml:space="preserve"> </w:t>
      </w:r>
      <w:r>
        <w:t xml:space="preserve">Sandi + Troy review investor packet draft. Edit for tone · accuracy · voice. Sign off.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Day 3 (MEDIUM):</w:t>
      </w:r>
      <w:r>
        <w:t xml:space="preserve"> </w:t>
      </w:r>
      <w:r>
        <w:t xml:space="preserve">Fill contact block (email · phone · Calendly · mailing address). Confirm advisor naming policy.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Day 4 (MEDIUM):</w:t>
      </w:r>
      <w:r>
        <w:t xml:space="preserve"> </w:t>
      </w:r>
      <w:r>
        <w:t xml:space="preserve">Number verification — 130M+ debris (ESA cite) · ELEO 200-2000km · 5-stage roadmap dates.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Day 5 (HARD):</w:t>
      </w:r>
      <w:r>
        <w:t xml:space="preserve"> </w:t>
      </w:r>
      <w:r>
        <w:t xml:space="preserve">Pull strongest 3 visuals from existing PPTX deck. Hand to designer with packet draft.</w:t>
      </w:r>
    </w:p>
    <w:bookmarkEnd w:id="10"/>
    <w:bookmarkStart w:id="11" w:name="week-2-design-typeset"/>
    <w:p>
      <w:pPr>
        <w:pStyle w:val="Heading3"/>
      </w:pPr>
      <w:r>
        <w:t xml:space="preserve">Week 2: Design + typeset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Day 6-10 (designer):</w:t>
      </w:r>
      <w:r>
        <w:t xml:space="preserve"> </w:t>
      </w:r>
      <w:r>
        <w:t xml:space="preserve">Designer typesets packet HTML to print-quality PDF. Inter font · Void Cartography palette · 7 pages.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Day 6-10 (Sandi):</w:t>
      </w:r>
      <w:r>
        <w:t xml:space="preserve"> </w:t>
      </w:r>
      <w:r>
        <w:t xml:space="preserve">Flyer review. Match packet aesthetic. Confirm 4-block layout.</w:t>
      </w:r>
    </w:p>
    <w:bookmarkEnd w:id="11"/>
    <w:bookmarkStart w:id="12" w:name="week-3-print-iterate"/>
    <w:p>
      <w:pPr>
        <w:pStyle w:val="Heading3"/>
      </w:pPr>
      <w:r>
        <w:t xml:space="preserve">Week 3: Print + iterate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Day 11-12 (HARD):</w:t>
      </w:r>
      <w:r>
        <w:t xml:space="preserve"> </w:t>
      </w:r>
      <w:r>
        <w:t xml:space="preserve">Print test copy of packet. Hold in hands. Look for: trim issues · color fidelity · readability at arm’s length.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Day 13 (MEDIUM):</w:t>
      </w:r>
      <w:r>
        <w:t xml:space="preserve"> </w:t>
      </w:r>
      <w:r>
        <w:t xml:space="preserve">Print test copy of flyer. Same checks.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Day 14-15 (MEDIUM):</w:t>
      </w:r>
      <w:r>
        <w:t xml:space="preserve"> </w:t>
      </w:r>
      <w:r>
        <w:t xml:space="preserve">Address any print issues. Re-print if needed.</w:t>
      </w:r>
    </w:p>
    <w:bookmarkEnd w:id="12"/>
    <w:bookmarkStart w:id="13" w:name="week-4-qr-final-batch"/>
    <w:p>
      <w:pPr>
        <w:pStyle w:val="Heading3"/>
      </w:pPr>
      <w:r>
        <w:t xml:space="preserve">Week 4: QR + final batch</w:t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Day 16:</w:t>
      </w:r>
      <w:r>
        <w:t xml:space="preserve"> </w:t>
      </w:r>
      <w:r>
        <w:t xml:space="preserve">Decide on packet hosting URL (icarusorbital.com · shawnedecker.com · Drive). Get the URL stable.</w:t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Day 17 (EASY):</w:t>
      </w:r>
      <w:r>
        <w:t xml:space="preserve"> </w:t>
      </w:r>
      <w:r>
        <w:t xml:space="preserve">Generate real QR encoding the packet URL. Replace flyer placeholder.</w:t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Day 18-20:</w:t>
      </w:r>
      <w:r>
        <w:t xml:space="preserve"> </w:t>
      </w:r>
      <w:r>
        <w:t xml:space="preserve">Final print run — 50 packets · 100 flyers minimum.</w:t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Day 21:</w:t>
      </w:r>
      <w:r>
        <w:t xml:space="preserve"> </w:t>
      </w:r>
      <w:r>
        <w:t xml:space="preserve">Materials shipped or hand-carried to conference.</w:t>
      </w:r>
    </w:p>
    <w:p>
      <w:r>
        <w:pict>
          <v:rect style="width:0;height:1.5pt" o:hralign="center" o:hrstd="t" o:hr="t"/>
        </w:pict>
      </w:r>
    </w:p>
    <w:bookmarkEnd w:id="13"/>
    <w:bookmarkEnd w:id="14"/>
    <w:bookmarkStart w:id="15" w:name="phase-2-conference-week"/>
    <w:p>
      <w:pPr>
        <w:pStyle w:val="Heading2"/>
      </w:pPr>
      <w:r>
        <w:t xml:space="preserve">Phase 2 — Conference week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Day</w:t>
            </w:r>
          </w:p>
        </w:tc>
        <w:tc>
          <w:tcPr/>
          <w:p>
            <w:pPr>
              <w:pStyle w:val="Compact"/>
            </w:pPr>
            <w:r>
              <w:t xml:space="preserve">Action</w:t>
            </w:r>
          </w:p>
        </w:tc>
      </w:tr>
      <w:tr>
        <w:tc>
          <w:tcPr/>
          <w:p>
            <w:pPr>
              <w:pStyle w:val="Compact"/>
            </w:pPr>
            <w:r>
              <w:t xml:space="preserve">ISDC Day -1</w:t>
            </w:r>
          </w:p>
        </w:tc>
        <w:tc>
          <w:tcPr/>
          <w:p>
            <w:pPr>
              <w:pStyle w:val="Compact"/>
            </w:pPr>
            <w:r>
              <w:t xml:space="preserve">Conference table setup · materials laid out · demo loop ready on iPad</w:t>
            </w:r>
          </w:p>
        </w:tc>
      </w:tr>
      <w:tr>
        <w:tc>
          <w:tcPr/>
          <w:p>
            <w:pPr>
              <w:pStyle w:val="Compact"/>
            </w:pPr>
            <w:r>
              <w:t xml:space="preserve">ISDC Day 1</w:t>
            </w:r>
          </w:p>
        </w:tc>
        <w:tc>
          <w:tcPr/>
          <w:p>
            <w:pPr>
              <w:pStyle w:val="Compact"/>
            </w:pPr>
            <w:r>
              <w:t xml:space="preserve">Floor: 9am-5pm presence · qualifying conversations · packet handout</w:t>
            </w:r>
          </w:p>
        </w:tc>
      </w:tr>
      <w:tr>
        <w:tc>
          <w:tcPr/>
          <w:p>
            <w:pPr>
              <w:pStyle w:val="Compact"/>
            </w:pPr>
            <w:r>
              <w:t xml:space="preserve">ISDC Day 1 evening</w:t>
            </w:r>
          </w:p>
        </w:tc>
        <w:tc>
          <w:tcPr/>
          <w:p>
            <w:pPr>
              <w:pStyle w:val="Compact"/>
            </w:pPr>
            <w:r>
              <w:t xml:space="preserve">Reception · investor meet-and-greet · soft pitches</w:t>
            </w:r>
          </w:p>
        </w:tc>
      </w:tr>
      <w:tr>
        <w:tc>
          <w:tcPr/>
          <w:p>
            <w:pPr>
              <w:pStyle w:val="Compact"/>
            </w:pPr>
            <w:r>
              <w:t xml:space="preserve">ISDC Day 2</w:t>
            </w:r>
          </w:p>
        </w:tc>
        <w:tc>
          <w:tcPr/>
          <w:p>
            <w:pPr>
              <w:pStyle w:val="Compact"/>
            </w:pPr>
            <w:r>
              <w:t xml:space="preserve">Same. Track every conversation in</w:t>
            </w:r>
            <w:r>
              <w:t xml:space="preserve"> </w:t>
            </w:r>
            <w:r>
              <w:rPr>
                <w:rStyle w:val="VerbatimChar"/>
              </w:rPr>
              <w:t xml:space="preserve">Conference_Log.md</w:t>
            </w:r>
          </w:p>
        </w:tc>
      </w:tr>
      <w:tr>
        <w:tc>
          <w:tcPr/>
          <w:p>
            <w:pPr>
              <w:pStyle w:val="Compact"/>
            </w:pPr>
            <w:r>
              <w:t xml:space="preserve">ISDC Day 3</w:t>
            </w:r>
          </w:p>
        </w:tc>
        <w:tc>
          <w:tcPr/>
          <w:p>
            <w:pPr>
              <w:pStyle w:val="Compact"/>
            </w:pPr>
            <w:r>
              <w:t xml:space="preserve">Same. Final-day push for committed follow-ups</w:t>
            </w:r>
          </w:p>
        </w:tc>
      </w:tr>
      <w:tr>
        <w:tc>
          <w:tcPr/>
          <w:p>
            <w:pPr>
              <w:pStyle w:val="Compact"/>
            </w:pPr>
            <w:r>
              <w:t xml:space="preserve">Day +1</w:t>
            </w:r>
          </w:p>
        </w:tc>
        <w:tc>
          <w:tcPr/>
          <w:p>
            <w:pPr>
              <w:pStyle w:val="Compact"/>
            </w:pPr>
            <w:r>
              <w:t xml:space="preserve">Post-conference: send personalized followup to every collected card within 24h</w:t>
            </w:r>
          </w:p>
        </w:tc>
      </w:tr>
      <w:tr>
        <w:tc>
          <w:tcPr/>
          <w:p>
            <w:pPr>
              <w:pStyle w:val="Compact"/>
            </w:pPr>
            <w:r>
              <w:t xml:space="preserve">Day +7</w:t>
            </w:r>
          </w:p>
        </w:tc>
        <w:tc>
          <w:tcPr/>
          <w:p>
            <w:pPr>
              <w:pStyle w:val="Compact"/>
            </w:pPr>
            <w:r>
              <w:t xml:space="preserve">Cull list to qualified leads · schedule follow-up calls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15"/>
    <w:bookmarkStart w:id="18" w:name="phase-3-post-conference-days-30-90"/>
    <w:p>
      <w:pPr>
        <w:pStyle w:val="Heading2"/>
      </w:pPr>
      <w:r>
        <w:t xml:space="preserve">Phase 3 — Post-conference (Days 30-90)</w:t>
      </w:r>
    </w:p>
    <w:bookmarkStart w:id="16" w:name="weeks-5-7-convert-leads"/>
    <w:p>
      <w:pPr>
        <w:pStyle w:val="Heading3"/>
      </w:pPr>
      <w:r>
        <w:t xml:space="preserve">Weeks 5-7: Convert leads</w:t>
      </w:r>
    </w:p>
    <w:p>
      <w:pPr>
        <w:pStyle w:val="Compact"/>
        <w:numPr>
          <w:ilvl w:val="0"/>
          <w:numId w:val="1005"/>
        </w:numPr>
      </w:pPr>
      <w:r>
        <w:t xml:space="preserve">Schedule 15+ follow-up calls</w:t>
      </w:r>
    </w:p>
    <w:p>
      <w:pPr>
        <w:pStyle w:val="Compact"/>
        <w:numPr>
          <w:ilvl w:val="0"/>
          <w:numId w:val="1005"/>
        </w:numPr>
      </w:pPr>
      <w:r>
        <w:t xml:space="preserve">Send the deeper deck (full PPTX or hosted long-form) to interested parties</w:t>
      </w:r>
    </w:p>
    <w:p>
      <w:pPr>
        <w:pStyle w:val="Compact"/>
        <w:numPr>
          <w:ilvl w:val="0"/>
          <w:numId w:val="1005"/>
        </w:numPr>
      </w:pPr>
      <w:r>
        <w:t xml:space="preserve">Triage: who’s</w:t>
      </w:r>
      <w:r>
        <w:t xml:space="preserve"> </w:t>
      </w:r>
      <w:r>
        <w:t xml:space="preserve">“wants to invest”</w:t>
      </w:r>
      <w:r>
        <w:t xml:space="preserve"> </w:t>
      </w:r>
      <w:r>
        <w:t xml:space="preserve">vs</w:t>
      </w:r>
      <w:r>
        <w:t xml:space="preserve"> </w:t>
      </w:r>
      <w:r>
        <w:t xml:space="preserve">“interesting but no fit”</w:t>
      </w:r>
      <w:r>
        <w:t xml:space="preserve"> </w:t>
      </w:r>
      <w:r>
        <w:t xml:space="preserve">vs</w:t>
      </w:r>
      <w:r>
        <w:t xml:space="preserve"> </w:t>
      </w:r>
      <w:r>
        <w:t xml:space="preserve">“passing”</w:t>
      </w:r>
    </w:p>
    <w:bookmarkEnd w:id="16"/>
    <w:bookmarkStart w:id="17" w:name="weeks-8-12-phase-1-funding-close"/>
    <w:p>
      <w:pPr>
        <w:pStyle w:val="Heading3"/>
      </w:pPr>
      <w:r>
        <w:t xml:space="preserve">Weeks 8-12: Phase 1 funding close</w:t>
      </w:r>
    </w:p>
    <w:p>
      <w:pPr>
        <w:pStyle w:val="Compact"/>
        <w:numPr>
          <w:ilvl w:val="0"/>
          <w:numId w:val="1006"/>
        </w:numPr>
      </w:pPr>
      <w:r>
        <w:t xml:space="preserve">Identify lead investor candidate</w:t>
      </w:r>
    </w:p>
    <w:p>
      <w:pPr>
        <w:pStyle w:val="Compact"/>
        <w:numPr>
          <w:ilvl w:val="0"/>
          <w:numId w:val="1006"/>
        </w:numPr>
      </w:pPr>
      <w:r>
        <w:t xml:space="preserve">Term sheet conversations</w:t>
      </w:r>
    </w:p>
    <w:p>
      <w:pPr>
        <w:pStyle w:val="Compact"/>
        <w:numPr>
          <w:ilvl w:val="0"/>
          <w:numId w:val="1006"/>
        </w:numPr>
      </w:pPr>
      <w:r>
        <w:t xml:space="preserve">Diligence support · cap-table modeling</w:t>
      </w:r>
    </w:p>
    <w:p>
      <w:pPr>
        <w:pStyle w:val="Compact"/>
        <w:numPr>
          <w:ilvl w:val="0"/>
          <w:numId w:val="1006"/>
        </w:numPr>
      </w:pPr>
      <w:r>
        <w:t xml:space="preserve">Funding announcement (timing: per investor’s preference)</w:t>
      </w:r>
    </w:p>
    <w:p>
      <w:r>
        <w:pict>
          <v:rect style="width:0;height:1.5pt" o:hralign="center" o:hrstd="t" o:hr="t"/>
        </w:pict>
      </w:r>
    </w:p>
    <w:bookmarkEnd w:id="17"/>
    <w:bookmarkEnd w:id="18"/>
    <w:bookmarkStart w:id="19" w:name="what-this-plan-assumes"/>
    <w:p>
      <w:pPr>
        <w:pStyle w:val="Heading2"/>
      </w:pPr>
      <w:r>
        <w:t xml:space="preserve">What this plan assumes</w:t>
      </w:r>
    </w:p>
    <w:p>
      <w:pPr>
        <w:pStyle w:val="Compact"/>
        <w:numPr>
          <w:ilvl w:val="0"/>
          <w:numId w:val="1007"/>
        </w:numPr>
      </w:pPr>
      <w:r>
        <w:t xml:space="preserve">Sandi runs 1 HARD task per day</w:t>
      </w:r>
    </w:p>
    <w:p>
      <w:pPr>
        <w:pStyle w:val="Compact"/>
        <w:numPr>
          <w:ilvl w:val="0"/>
          <w:numId w:val="1007"/>
        </w:numPr>
      </w:pPr>
      <w:r>
        <w:t xml:space="preserve">Troy is reachable for review/approval (CVO sign-off needed on packet content)</w:t>
      </w:r>
    </w:p>
    <w:p>
      <w:pPr>
        <w:pStyle w:val="Compact"/>
        <w:numPr>
          <w:ilvl w:val="0"/>
          <w:numId w:val="1007"/>
        </w:numPr>
      </w:pPr>
      <w:r>
        <w:t xml:space="preserve">Designer turnaround ~7 days for typesetting</w:t>
      </w:r>
    </w:p>
    <w:p>
      <w:pPr>
        <w:pStyle w:val="Compact"/>
        <w:numPr>
          <w:ilvl w:val="0"/>
          <w:numId w:val="1007"/>
        </w:numPr>
      </w:pPr>
      <w:r>
        <w:t xml:space="preserve">ISDC conference dates locked (confirm before week 1 starts)</w:t>
      </w:r>
    </w:p>
    <w:p>
      <w:pPr>
        <w:pStyle w:val="Compact"/>
        <w:numPr>
          <w:ilvl w:val="0"/>
          <w:numId w:val="1007"/>
        </w:numPr>
      </w:pPr>
      <w:r>
        <w:t xml:space="preserve">Printing + travel budget agreed before week 1 (Sandi → Troy decision; expect ~$800-1500 range for designed-PDF print run + ISDC travel)</w:t>
      </w:r>
    </w:p>
    <w:p>
      <w:pPr>
        <w:pStyle w:val="FirstParagraph"/>
      </w:pPr>
      <w:r>
        <w:t xml:space="preserve">If any of these slip, Phase 1 slides equally. Don’t push.</w:t>
      </w:r>
    </w:p>
    <w:p>
      <w:r>
        <w:pict>
          <v:rect style="width:0;height:1.5pt" o:hralign="center" o:hrstd="t" o:hr="t"/>
        </w:pict>
      </w:r>
    </w:p>
    <w:bookmarkEnd w:id="19"/>
    <w:bookmarkStart w:id="20" w:name="cross-references"/>
    <w:p>
      <w:pPr>
        <w:pStyle w:val="Heading2"/>
      </w:pPr>
      <w:r>
        <w:t xml:space="preserve">Cross-references</w:t>
      </w:r>
    </w:p>
    <w:p>
      <w:pPr>
        <w:pStyle w:val="Compact"/>
        <w:numPr>
          <w:ilvl w:val="0"/>
          <w:numId w:val="1008"/>
        </w:numPr>
      </w:pPr>
      <w:r>
        <w:t xml:space="preserve">[[01_strategy]]</w:t>
      </w:r>
    </w:p>
    <w:p>
      <w:pPr>
        <w:pStyle w:val="Compact"/>
        <w:numPr>
          <w:ilvl w:val="0"/>
          <w:numId w:val="1008"/>
        </w:numPr>
      </w:pPr>
      <w:r>
        <w:t xml:space="preserve">[[05_gap_analysis]]</w:t>
      </w:r>
    </w:p>
    <w:p>
      <w:pPr>
        <w:pStyle w:val="Compact"/>
        <w:numPr>
          <w:ilvl w:val="0"/>
          <w:numId w:val="1008"/>
        </w:numPr>
      </w:pPr>
      <w:r>
        <w:t xml:space="preserve">[[../Investor_Packet_v1_DRAFT|Investor Packet HTML]]</w:t>
      </w:r>
    </w:p>
    <w:p>
      <w:pPr>
        <w:pStyle w:val="Compact"/>
        <w:numPr>
          <w:ilvl w:val="0"/>
          <w:numId w:val="1008"/>
        </w:numPr>
      </w:pPr>
      <w:r>
        <w:t xml:space="preserve">[[../Recruitment_Flyer_v1_DRAFT|Recruitment Flyer HTML]]</w:t>
      </w:r>
    </w:p>
    <w:bookmarkEnd w:id="20"/>
    <w:bookmarkEnd w:id="21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2026-04-29T18:21:18Z</dcterms:created>
  <dcterms:modified xsi:type="dcterms:W3CDTF">2026-04-29T18:21:18Z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">
    <vt:lpwstr>02_action_plan</vt:lpwstr>
  </property>
  <property fmtid="{D5CDD505-2E9C-101B-9397-08002B2CF9AE}" pid="3" name="links">
    <vt:lpwstr/>
  </property>
  <property fmtid="{D5CDD505-2E9C-101B-9397-08002B2CF9AE}" pid="4" name="project">
    <vt:lpwstr>icarus-orbital-systems</vt:lpwstr>
  </property>
  <property fmtid="{D5CDD505-2E9C-101B-9397-08002B2CF9AE}" pid="5" name="tags">
    <vt:lpwstr/>
  </property>
</Properties>
</file>