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icarus-orbital-systems-strategy"/>
    <w:p>
      <w:pPr>
        <w:pStyle w:val="Heading1"/>
      </w:pPr>
      <w:r>
        <w:t xml:space="preserve">Icarus Orbital Systems — Strategy</w:t>
      </w:r>
    </w:p>
    <w:p>
      <w:pPr>
        <w:pStyle w:val="BlockText"/>
      </w:pPr>
      <w:r>
        <w:rPr>
          <w:i/>
          <w:iCs/>
        </w:rPr>
        <w:t xml:space="preserve">Why this exists · what’s the recovery economy thesis · how Icarus differs from peers · the path from validation to revenue.</w:t>
      </w:r>
    </w:p>
    <w:p>
      <w:r>
        <w:pict>
          <v:rect style="width:0;height:1.5pt" o:hralign="center" o:hrstd="t" o:hr="t"/>
        </w:pict>
      </w:r>
    </w:p>
    <w:bookmarkStart w:id="9" w:name="the-thesis"/>
    <w:p>
      <w:pPr>
        <w:pStyle w:val="Heading2"/>
      </w:pPr>
      <w:r>
        <w:t xml:space="preserve">The thesis</w:t>
      </w:r>
    </w:p>
    <w:p>
      <w:pPr>
        <w:pStyle w:val="FirstParagraph"/>
      </w:pPr>
      <w:r>
        <w:t xml:space="preserve">Orbital debris is no longer a future risk.</w:t>
      </w:r>
      <w:r>
        <w:t xml:space="preserve"> </w:t>
      </w:r>
      <w:r>
        <w:rPr>
          <w:b/>
          <w:bCs/>
        </w:rPr>
        <w:t xml:space="preserve">130M+ fragments larger than 1mm</w:t>
      </w:r>
      <w:r>
        <w:t xml:space="preserve"> </w:t>
      </w:r>
      <w:r>
        <w:t xml:space="preserve">orbit Earth today (ESA 2024). Existing players treat removal as cost. The opportunity is to treat removal as the entry wedge for a recovery economy: capture → transport → process → return material to use. Same fleet, dual revenue.</w:t>
      </w:r>
    </w:p>
    <w:p>
      <w:pPr>
        <w:pStyle w:val="SourceCode"/>
      </w:pPr>
      <w:r>
        <w:rPr>
          <w:rStyle w:val="VerbatimChar"/>
        </w:rPr>
        <w:t xml:space="preserve">flowchart LR</w:t>
      </w:r>
      <w:r>
        <w:br/>
      </w:r>
      <w:r>
        <w:rPr>
          <w:rStyle w:val="VerbatimChar"/>
        </w:rPr>
        <w:t xml:space="preserve">    subgraph "Industry default (peers)"</w:t>
      </w:r>
      <w:r>
        <w:br/>
      </w:r>
      <w:r>
        <w:rPr>
          <w:rStyle w:val="VerbatimChar"/>
        </w:rPr>
        <w:t xml:space="preserve">        A1[Debris in orbit] --&gt; B1[Capture] --&gt; C1[Deorbit / destroy]</w:t>
      </w:r>
      <w:r>
        <w:br/>
      </w:r>
      <w:r>
        <w:rPr>
          <w:rStyle w:val="VerbatimChar"/>
        </w:rPr>
        <w:t xml:space="preserve">        C1 --&gt; D1[Cost on the books]</w:t>
      </w:r>
      <w:r>
        <w:br/>
      </w:r>
      <w:r>
        <w:rPr>
          <w:rStyle w:val="VerbatimChar"/>
        </w:rPr>
        <w:t xml:space="preserve">    end</w:t>
      </w:r>
      <w:r>
        <w:br/>
      </w:r>
      <w:r>
        <w:rPr>
          <w:rStyle w:val="VerbatimChar"/>
        </w:rPr>
        <w:t xml:space="preserve">    subgraph "Icarus thesis"</w:t>
      </w:r>
      <w:r>
        <w:br/>
      </w:r>
      <w:r>
        <w:rPr>
          <w:rStyle w:val="VerbatimChar"/>
        </w:rPr>
        <w:t xml:space="preserve">        A2[Debris in orbit] --&gt; B2[Capture]</w:t>
      </w:r>
      <w:r>
        <w:br/>
      </w:r>
      <w:r>
        <w:rPr>
          <w:rStyle w:val="VerbatimChar"/>
        </w:rPr>
        <w:t xml:space="preserve">        B2 --&gt; C2[Transport to OPS]</w:t>
      </w:r>
      <w:r>
        <w:br/>
      </w:r>
      <w:r>
        <w:rPr>
          <w:rStyle w:val="VerbatimChar"/>
        </w:rPr>
        <w:t xml:space="preserve">        C2 --&gt; D2[Refine + return to supply]</w:t>
      </w:r>
      <w:r>
        <w:br/>
      </w:r>
      <w:r>
        <w:rPr>
          <w:rStyle w:val="VerbatimChar"/>
        </w:rPr>
        <w:t xml:space="preserve">        D2 --&gt; E2[Revenue from material recovery]</w:t>
      </w:r>
      <w:r>
        <w:br/>
      </w:r>
      <w:r>
        <w:rPr>
          <w:rStyle w:val="VerbatimChar"/>
        </w:rPr>
        <w:t xml:space="preserve">        B2 --&gt; F2[Removal contract revenue]</w:t>
      </w:r>
      <w:r>
        <w:br/>
      </w:r>
      <w:r>
        <w:rPr>
          <w:rStyle w:val="VerbatimChar"/>
        </w:rPr>
        <w:t xml:space="preserve">    end</w:t>
      </w:r>
      <w:r>
        <w:br/>
      </w:r>
      <w:r>
        <w:rPr>
          <w:rStyle w:val="VerbatimChar"/>
        </w:rPr>
        <w:t xml:space="preserve">    style D1 fill:#C76A4A,stroke:#8B5E3C,color:#fff</w:t>
      </w:r>
      <w:r>
        <w:br/>
      </w:r>
      <w:r>
        <w:rPr>
          <w:rStyle w:val="VerbatimChar"/>
        </w:rPr>
        <w:t xml:space="preserve">    style E2 fill:#3D7A4E,stroke:#1F4D4A,color:#fff</w:t>
      </w:r>
      <w:r>
        <w:br/>
      </w:r>
      <w:r>
        <w:rPr>
          <w:rStyle w:val="VerbatimChar"/>
        </w:rPr>
        <w:t xml:space="preserve">    style F2 fill:#3D7A4E,stroke:#1F4D4A,color:#fff</w:t>
      </w:r>
    </w:p>
    <w:p>
      <w:r>
        <w:pict>
          <v:rect style="width:0;height:1.5pt" o:hralign="center" o:hrstd="t" o:hr="t"/>
        </w:pict>
      </w:r>
    </w:p>
    <w:bookmarkEnd w:id="9"/>
    <w:bookmarkStart w:id="10" w:name="X18abfd1e1cca6c08fb6033da680063925afda88"/>
    <w:p>
      <w:pPr>
        <w:pStyle w:val="Heading2"/>
      </w:pPr>
      <w:r>
        <w:t xml:space="preserve">Competitive landscape (the public-market validation)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Company</w:t>
            </w:r>
          </w:p>
        </w:tc>
        <w:tc>
          <w:tcPr/>
          <w:p>
            <w:pPr>
              <w:pStyle w:val="Compact"/>
            </w:pPr>
            <w:r>
              <w:t xml:space="preserve">Public-market event</w:t>
            </w:r>
          </w:p>
        </w:tc>
        <w:tc>
          <w:tcPr/>
          <w:p>
            <w:pPr>
              <w:pStyle w:val="Compact"/>
            </w:pPr>
            <w:r>
              <w:t xml:space="preserve">Their model</w:t>
            </w:r>
          </w:p>
        </w:tc>
        <w:tc>
          <w:tcPr/>
          <w:p>
            <w:pPr>
              <w:pStyle w:val="Compact"/>
            </w:pPr>
            <w:r>
              <w:t xml:space="preserve">What they leave on the table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Astroscale</w:t>
            </w:r>
          </w:p>
        </w:tc>
        <w:tc>
          <w:tcPr/>
          <w:p>
            <w:pPr>
              <w:pStyle w:val="Compact"/>
            </w:pPr>
            <w:r>
              <w:t xml:space="preserve">2024 Tokyo IPO</w:t>
            </w:r>
          </w:p>
        </w:tc>
        <w:tc>
          <w:tcPr/>
          <w:p>
            <w:pPr>
              <w:pStyle w:val="Compact"/>
            </w:pPr>
            <w:r>
              <w:t xml:space="preserve">Capture + deorbit ADR-as-service</w:t>
            </w:r>
          </w:p>
        </w:tc>
        <w:tc>
          <w:tcPr/>
          <w:p>
            <w:pPr>
              <w:pStyle w:val="Compact"/>
            </w:pPr>
            <w:r>
              <w:t xml:space="preserve">Captured material destroyed in re-entry — value lost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ClearSpace</w:t>
            </w:r>
          </w:p>
        </w:tc>
        <w:tc>
          <w:tcPr/>
          <w:p>
            <w:pPr>
              <w:pStyle w:val="Compact"/>
            </w:pPr>
            <w:r>
              <w:t xml:space="preserve">€100M institutional · ESA prime contract</w:t>
            </w:r>
          </w:p>
        </w:tc>
        <w:tc>
          <w:tcPr/>
          <w:p>
            <w:pPr>
              <w:pStyle w:val="Compact"/>
            </w:pPr>
            <w:r>
              <w:t xml:space="preserve">Single-target Pac-Man grappler</w:t>
            </w:r>
          </w:p>
        </w:tc>
        <w:tc>
          <w:tcPr/>
          <w:p>
            <w:pPr>
              <w:pStyle w:val="Compact"/>
            </w:pPr>
            <w:r>
              <w:t xml:space="preserve">One-shot architecture · no persistent presence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Redwire</w:t>
            </w:r>
          </w:p>
        </w:tc>
        <w:tc>
          <w:tcPr/>
          <w:p>
            <w:pPr>
              <w:pStyle w:val="Compact"/>
            </w:pPr>
            <w:r>
              <w:t xml:space="preserve">2021 SPAC merger (NYSE: RDW)</w:t>
            </w:r>
          </w:p>
        </w:tc>
        <w:tc>
          <w:tcPr/>
          <w:p>
            <w:pPr>
              <w:pStyle w:val="Compact"/>
            </w:pPr>
            <w:r>
              <w:t xml:space="preserve">Robotics-as-a-Service for sat operators</w:t>
            </w:r>
          </w:p>
        </w:tc>
        <w:tc>
          <w:tcPr/>
          <w:p>
            <w:pPr>
              <w:pStyle w:val="Compact"/>
            </w:pPr>
            <w:r>
              <w:t xml:space="preserve">Servicing focus · no debris-recovery posture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Icarus (us)</w:t>
            </w:r>
          </w:p>
        </w:tc>
        <w:tc>
          <w:tcPr/>
          <w:p>
            <w:pPr>
              <w:pStyle w:val="Compact"/>
            </w:pPr>
            <w:r>
              <w:t xml:space="preserve">Pre-seed validation</w:t>
            </w:r>
          </w:p>
        </w:tc>
        <w:tc>
          <w:tcPr/>
          <w:p>
            <w:pPr>
              <w:pStyle w:val="Compact"/>
            </w:pPr>
            <w:r>
              <w:t xml:space="preserve">Distributed Dragonfly fleet + PTOT + OPS recovery loop</w:t>
            </w:r>
          </w:p>
        </w:tc>
        <w:tc>
          <w:tcPr/>
          <w:p>
            <w:pPr>
              <w:pStyle w:val="Compact"/>
            </w:pPr>
            <w:r>
              <w:t xml:space="preserve">— (filling the gap)</w:t>
            </w:r>
          </w:p>
        </w:tc>
      </w:tr>
    </w:tbl>
    <w:p>
      <w:pPr>
        <w:pStyle w:val="BodyText"/>
      </w:pPr>
      <w:r>
        <w:t xml:space="preserve">The category is priced. The recovery layer is empty.</w:t>
      </w:r>
    </w:p>
    <w:p>
      <w:r>
        <w:pict>
          <v:rect style="width:0;height:1.5pt" o:hralign="center" o:hrstd="t" o:hr="t"/>
        </w:pict>
      </w:r>
    </w:p>
    <w:bookmarkEnd w:id="10"/>
    <w:bookmarkStart w:id="11" w:name="market-sizing"/>
    <w:p>
      <w:pPr>
        <w:pStyle w:val="Heading2"/>
      </w:pPr>
      <w:r>
        <w:t xml:space="preserve">Market sizing</w:t>
      </w:r>
    </w:p>
    <w:p>
      <w:pPr>
        <w:pStyle w:val="FirstParagraph"/>
      </w:pPr>
      <w:r>
        <w:t xml:space="preserve">Three adjacent market segments. Icarus operates at their intersection.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Segment</w:t>
            </w:r>
          </w:p>
        </w:tc>
        <w:tc>
          <w:tcPr/>
          <w:p>
            <w:pPr>
              <w:pStyle w:val="Compact"/>
            </w:pPr>
            <w:r>
              <w:t xml:space="preserve">2024-2025 valuation</w:t>
            </w:r>
          </w:p>
        </w:tc>
        <w:tc>
          <w:tcPr/>
          <w:p>
            <w:pPr>
              <w:pStyle w:val="Compact"/>
            </w:pPr>
            <w:r>
              <w:t xml:space="preserve">2030-2036 projection</w:t>
            </w:r>
          </w:p>
        </w:tc>
        <w:tc>
          <w:tcPr/>
          <w:p>
            <w:pPr>
              <w:pStyle w:val="Compact"/>
            </w:pPr>
            <w:r>
              <w:t xml:space="preserve">CAGR</w:t>
            </w:r>
          </w:p>
        </w:tc>
      </w:tr>
      <w:tr>
        <w:tc>
          <w:tcPr/>
          <w:p>
            <w:pPr>
              <w:pStyle w:val="Compact"/>
            </w:pPr>
            <w:r>
              <w:t xml:space="preserve">Space Robotics &amp; Autonomous Systems</w:t>
            </w:r>
          </w:p>
        </w:tc>
        <w:tc>
          <w:tcPr/>
          <w:p>
            <w:pPr>
              <w:pStyle w:val="Compact"/>
            </w:pPr>
            <w:r>
              <w:t xml:space="preserve">$5.4-6.6B</w:t>
            </w:r>
          </w:p>
        </w:tc>
        <w:tc>
          <w:tcPr/>
          <w:p>
            <w:pPr>
              <w:pStyle w:val="Compact"/>
            </w:pPr>
            <w:r>
              <w:t xml:space="preserve">$12.4-17.9B</w:t>
            </w:r>
          </w:p>
        </w:tc>
        <w:tc>
          <w:tcPr/>
          <w:p>
            <w:pPr>
              <w:pStyle w:val="Compact"/>
            </w:pPr>
            <w:r>
              <w:t xml:space="preserve">8.6-9.5%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In-Orbit Satellite Servicing</w:t>
            </w:r>
          </w:p>
        </w:tc>
        <w:tc>
          <w:tcPr/>
          <w:p>
            <w:pPr>
              <w:pStyle w:val="Compact"/>
            </w:pPr>
            <w:r>
              <w:t xml:space="preserve">$1.27-4.67B</w:t>
            </w:r>
          </w:p>
        </w:tc>
        <w:tc>
          <w:tcPr/>
          <w:p>
            <w:pPr>
              <w:pStyle w:val="Compact"/>
            </w:pPr>
            <w:r>
              <w:t xml:space="preserve">$9.0-12.6B</w:t>
            </w:r>
          </w:p>
        </w:tc>
        <w:tc>
          <w:tcPr/>
          <w:p>
            <w:pPr>
              <w:pStyle w:val="Compact"/>
            </w:pPr>
            <w:r>
              <w:t xml:space="preserve">10.4-10.8%</w:t>
            </w:r>
          </w:p>
        </w:tc>
      </w:tr>
      <w:tr>
        <w:tc>
          <w:tcPr/>
          <w:p>
            <w:pPr>
              <w:pStyle w:val="Compact"/>
            </w:pPr>
            <w:r>
              <w:t xml:space="preserve">Space Debris Monitoring &amp; Removal</w:t>
            </w:r>
          </w:p>
        </w:tc>
        <w:tc>
          <w:tcPr/>
          <w:p>
            <w:pPr>
              <w:pStyle w:val="Compact"/>
            </w:pPr>
            <w:r>
              <w:t xml:space="preserve">$1.05-1.45B</w:t>
            </w:r>
          </w:p>
        </w:tc>
        <w:tc>
          <w:tcPr/>
          <w:p>
            <w:pPr>
              <w:pStyle w:val="Compact"/>
            </w:pPr>
            <w:r>
              <w:t xml:space="preserve">$2.05-4.12B</w:t>
            </w:r>
          </w:p>
        </w:tc>
        <w:tc>
          <w:tcPr/>
          <w:p>
            <w:pPr>
              <w:pStyle w:val="Compact"/>
            </w:pPr>
            <w:r>
              <w:t xml:space="preserve">7.8-18.7%</w:t>
            </w:r>
          </w:p>
        </w:tc>
      </w:tr>
    </w:tbl>
    <w:p>
      <w:pPr>
        <w:pStyle w:val="BodyText"/>
      </w:pPr>
      <w:r>
        <w:rPr>
          <w:i/>
          <w:iCs/>
        </w:rPr>
        <w:t xml:space="preserve">Source: In-Space Autonomous Systems Market Analysis · ESA Space Environment Report 2024.</w:t>
      </w:r>
    </w:p>
    <w:p>
      <w:r>
        <w:pict>
          <v:rect style="width:0;height:1.5pt" o:hralign="center" o:hrstd="t" o:hr="t"/>
        </w:pict>
      </w:r>
    </w:p>
    <w:bookmarkEnd w:id="11"/>
    <w:bookmarkStart w:id="12" w:name="customer-ladder"/>
    <w:p>
      <w:pPr>
        <w:pStyle w:val="Heading2"/>
      </w:pPr>
      <w:r>
        <w:t xml:space="preserve">Customer ladder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Customer segment</w:t>
            </w:r>
          </w:p>
        </w:tc>
        <w:tc>
          <w:tcPr/>
          <w:p>
            <w:pPr>
              <w:pStyle w:val="Compact"/>
            </w:pPr>
            <w:r>
              <w:t xml:space="preserve">Pain Icarus relieves</w:t>
            </w:r>
          </w:p>
        </w:tc>
        <w:tc>
          <w:tcPr/>
          <w:p>
            <w:pPr>
              <w:pStyle w:val="Compact"/>
            </w:pPr>
            <w:r>
              <w:t xml:space="preserve">Willingness to pay</w:t>
            </w:r>
          </w:p>
        </w:tc>
        <w:tc>
          <w:tcPr/>
          <w:p>
            <w:pPr>
              <w:pStyle w:val="Compact"/>
            </w:pPr>
            <w:r>
              <w:t xml:space="preserve">Phase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Government / military (DoD · NASA · allied agencies)</w:t>
            </w:r>
          </w:p>
        </w:tc>
        <w:tc>
          <w:tcPr/>
          <w:p>
            <w:pPr>
              <w:pStyle w:val="Compact"/>
            </w:pPr>
            <w:r>
              <w:t xml:space="preserve">Mission-critical satellite protection · debris-attribution liability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  <w:tc>
          <w:tcPr/>
          <w:p>
            <w:pPr>
              <w:pStyle w:val="Compact"/>
            </w:pPr>
            <w:r>
              <w:t xml:space="preserve">Phase 1+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Commercial sat operators (Starlink-class · GEO comm)</w:t>
            </w:r>
          </w:p>
        </w:tc>
        <w:tc>
          <w:tcPr/>
          <w:p>
            <w:pPr>
              <w:pStyle w:val="Compact"/>
            </w:pPr>
            <w:r>
              <w:t xml:space="preserve">Insurance premiums · station-keeping fuel · collision avoidance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  <w:tc>
          <w:tcPr/>
          <w:p>
            <w:pPr>
              <w:pStyle w:val="Compact"/>
            </w:pPr>
            <w:r>
              <w:t xml:space="preserve">Phase 2+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In-orbit manufacturing (future)</w:t>
            </w:r>
          </w:p>
        </w:tc>
        <w:tc>
          <w:tcPr/>
          <w:p>
            <w:pPr>
              <w:pStyle w:val="Compact"/>
            </w:pPr>
            <w:r>
              <w:t xml:space="preserve">Raw material in orbit without ground-launch cost</w:t>
            </w:r>
          </w:p>
        </w:tc>
        <w:tc>
          <w:tcPr/>
          <w:p>
            <w:pPr>
              <w:pStyle w:val="Compact"/>
            </w:pPr>
            <w:r>
              <w:t xml:space="preserve">Emerging</w:t>
            </w:r>
          </w:p>
        </w:tc>
        <w:tc>
          <w:tcPr/>
          <w:p>
            <w:pPr>
              <w:pStyle w:val="Compact"/>
            </w:pPr>
            <w:r>
              <w:t xml:space="preserve">Phase 3+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stage-roadmap"/>
    <w:p>
      <w:pPr>
        <w:pStyle w:val="Heading2"/>
      </w:pPr>
      <w:r>
        <w:t xml:space="preserve">5-stage roadmap</w:t>
      </w:r>
    </w:p>
    <w:p>
      <w:pPr>
        <w:pStyle w:val="SourceCode"/>
      </w:pPr>
      <w:r>
        <w:rPr>
          <w:rStyle w:val="VerbatimChar"/>
        </w:rPr>
        <w:t xml:space="preserve">timeline</w:t>
      </w:r>
      <w:r>
        <w:br/>
      </w:r>
      <w:r>
        <w:rPr>
          <w:rStyle w:val="VerbatimChar"/>
        </w:rPr>
        <w:t xml:space="preserve">    title Icarus 5-stage roadmap</w:t>
      </w:r>
      <w:r>
        <w:br/>
      </w:r>
      <w:r>
        <w:rPr>
          <w:rStyle w:val="VerbatimChar"/>
        </w:rPr>
        <w:t xml:space="preserve">    Stage 1 (now → 12 mo) : Validation</w:t>
      </w:r>
      <w:r>
        <w:br/>
      </w:r>
      <w:r>
        <w:rPr>
          <w:rStyle w:val="VerbatimChar"/>
        </w:rPr>
        <w:t xml:space="preserve">                           : NSS Rothblatt entry</w:t>
      </w:r>
      <w:r>
        <w:br/>
      </w:r>
      <w:r>
        <w:rPr>
          <w:rStyle w:val="VerbatimChar"/>
        </w:rPr>
        <w:t xml:space="preserve">                           : Investor materials</w:t>
      </w:r>
      <w:r>
        <w:br/>
      </w:r>
      <w:r>
        <w:rPr>
          <w:rStyle w:val="VerbatimChar"/>
        </w:rPr>
        <w:t xml:space="preserve">                           : Phase 1 funding</w:t>
      </w:r>
      <w:r>
        <w:br/>
      </w:r>
      <w:r>
        <w:rPr>
          <w:rStyle w:val="VerbatimChar"/>
        </w:rPr>
        <w:t xml:space="preserve">    Stage 2 (mo 12-30)    : Prototype dev</w:t>
      </w:r>
      <w:r>
        <w:br/>
      </w:r>
      <w:r>
        <w:rPr>
          <w:rStyle w:val="VerbatimChar"/>
        </w:rPr>
        <w:t xml:space="preserve">                           : DF-1 ground prototype</w:t>
      </w:r>
      <w:r>
        <w:br/>
      </w:r>
      <w:r>
        <w:rPr>
          <w:rStyle w:val="VerbatimChar"/>
        </w:rPr>
        <w:t xml:space="preserve">                           : Propulsion test articles</w:t>
      </w:r>
      <w:r>
        <w:br/>
      </w:r>
      <w:r>
        <w:rPr>
          <w:rStyle w:val="VerbatimChar"/>
        </w:rPr>
        <w:t xml:space="preserve">    Stage 3 (mo 30-48)    : Demonstration mission</w:t>
      </w:r>
      <w:r>
        <w:br/>
      </w:r>
      <w:r>
        <w:rPr>
          <w:rStyle w:val="VerbatimChar"/>
        </w:rPr>
        <w:t xml:space="preserve">                           : Single-drone capture demo</w:t>
      </w:r>
      <w:r>
        <w:br/>
      </w:r>
      <w:r>
        <w:rPr>
          <w:rStyle w:val="VerbatimChar"/>
        </w:rPr>
        <w:t xml:space="preserve">                           : Partner-funded</w:t>
      </w:r>
      <w:r>
        <w:br/>
      </w:r>
      <w:r>
        <w:rPr>
          <w:rStyle w:val="VerbatimChar"/>
        </w:rPr>
        <w:t xml:space="preserve">    Stage 4 (yr 4-6)      : Operational deployment</w:t>
      </w:r>
      <w:r>
        <w:br/>
      </w:r>
      <w:r>
        <w:rPr>
          <w:rStyle w:val="VerbatimChar"/>
        </w:rPr>
        <w:t xml:space="preserve">                           : Small flotilla</w:t>
      </w:r>
      <w:r>
        <w:br/>
      </w:r>
      <w:r>
        <w:rPr>
          <w:rStyle w:val="VerbatimChar"/>
        </w:rPr>
        <w:t xml:space="preserve">                           : First contracts</w:t>
      </w:r>
      <w:r>
        <w:br/>
      </w:r>
      <w:r>
        <w:rPr>
          <w:rStyle w:val="VerbatimChar"/>
        </w:rPr>
        <w:t xml:space="preserve">    Stage 5 (yr 6+)       : Industrial expansion</w:t>
      </w:r>
      <w:r>
        <w:br/>
      </w:r>
      <w:r>
        <w:rPr>
          <w:rStyle w:val="VerbatimChar"/>
        </w:rPr>
        <w:t xml:space="preserve">                           : OPS infrastructure</w:t>
      </w:r>
      <w:r>
        <w:br/>
      </w:r>
      <w:r>
        <w:rPr>
          <w:rStyle w:val="VerbatimChar"/>
        </w:rPr>
        <w:t xml:space="preserve">                           : Recovery economy break-even</w:t>
      </w:r>
    </w:p>
    <w:p>
      <w:pPr>
        <w:pStyle w:val="FirstParagraph"/>
      </w:pPr>
      <w:r>
        <w:t xml:space="preserve">Each stage is independently revenue-bearable. We don’t need to fund the full roadmap to fund the early stages.</w:t>
      </w:r>
    </w:p>
    <w:p>
      <w:r>
        <w:pict>
          <v:rect style="width:0;height:1.5pt" o:hralign="center" o:hrstd="t" o:hr="t"/>
        </w:pict>
      </w:r>
    </w:p>
    <w:bookmarkEnd w:id="13"/>
    <w:bookmarkStart w:id="14" w:name="what-kills-this"/>
    <w:p>
      <w:pPr>
        <w:pStyle w:val="Heading2"/>
      </w:pPr>
      <w:r>
        <w:t xml:space="preserve">What kills this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Tone drift in pitch materials</w:t>
      </w:r>
      <w:r>
        <w:t xml:space="preserve"> </w:t>
      </w:r>
      <w:r>
        <w:t xml:space="preserve">— investors smell hype. The</w:t>
      </w:r>
      <w:r>
        <w:t xml:space="preserve"> </w:t>
      </w:r>
      <w:r>
        <w:t xml:space="preserve">“Void Cartography”</w:t>
      </w:r>
      <w:r>
        <w:t xml:space="preserve"> </w:t>
      </w:r>
      <w:r>
        <w:t xml:space="preserve">voice rules (no</w:t>
      </w:r>
      <w:r>
        <w:t xml:space="preserve"> </w:t>
      </w:r>
      <w:r>
        <w:t xml:space="preserve">“revolutionary”</w:t>
      </w:r>
      <w:r>
        <w:t xml:space="preserve"> </w:t>
      </w:r>
      <w:r>
        <w:t xml:space="preserve">· no</w:t>
      </w:r>
      <w:r>
        <w:t xml:space="preserve"> </w:t>
      </w:r>
      <w:r>
        <w:t xml:space="preserve">“10x”</w:t>
      </w:r>
      <w:r>
        <w:t xml:space="preserve"> </w:t>
      </w:r>
      <w:r>
        <w:t xml:space="preserve">· no exclamation in body · architectural prose) are what set us apart from generic startup pitches. Voice gate every output.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Trying to compete on capture-only</w:t>
      </w:r>
      <w:r>
        <w:t xml:space="preserve"> </w:t>
      </w:r>
      <w:r>
        <w:t xml:space="preserve">— that’s Astroscale’s land. We win by being the recovery-economy vertical, not by out-capturing them.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Premature scale</w:t>
      </w:r>
      <w:r>
        <w:t xml:space="preserve"> </w:t>
      </w:r>
      <w:r>
        <w:t xml:space="preserve">— chasing operational deployment before prototype is proven burns capital and credibility.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Public over-promise</w:t>
      </w:r>
      <w:r>
        <w:t xml:space="preserve"> </w:t>
      </w:r>
      <w:r>
        <w:t xml:space="preserve">— pre-seed companies that promise ELEO-by-Y3 lose investor trust. Conservative numbers · defensible posture.</w:t>
      </w:r>
    </w:p>
    <w:p>
      <w:r>
        <w:pict>
          <v:rect style="width:0;height:1.5pt" o:hralign="center" o:hrstd="t" o:hr="t"/>
        </w:pict>
      </w:r>
    </w:p>
    <w:bookmarkEnd w:id="14"/>
    <w:bookmarkStart w:id="15" w:name="cross-references"/>
    <w:p>
      <w:pPr>
        <w:pStyle w:val="Heading2"/>
      </w:pPr>
      <w:r>
        <w:t xml:space="preserve">Cross-references</w:t>
      </w:r>
    </w:p>
    <w:p>
      <w:pPr>
        <w:pStyle w:val="Compact"/>
        <w:numPr>
          <w:ilvl w:val="0"/>
          <w:numId w:val="1002"/>
        </w:numPr>
      </w:pPr>
      <w:r>
        <w:t xml:space="preserve">[[02_action_plan]] — what ships when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[[../../../../sandi-system-engine/_skills/icarus-pitch-producer/SKILL.md|icarus-pitch-producer]]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[[../../../../sandi-system-engine/_knowledge/ICARUS_FOUNDER_PACKET]]</w:t>
      </w:r>
    </w:p>
    <w:p>
      <w:pPr>
        <w:pStyle w:val="Compact"/>
        <w:numPr>
          <w:ilvl w:val="0"/>
          <w:numId w:val="1002"/>
        </w:numPr>
      </w:pPr>
      <w:r>
        <w:t xml:space="preserve">[[../../../../sandi-system-engine/_knowledge/VISUAL_IDENTITY]] (Zone C)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2026-04-29T17:53:08Z</dcterms:created>
  <dcterms:modified xsi:type="dcterms:W3CDTF">2026-04-29T17:53:08Z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">
    <vt:lpwstr>01_strategy</vt:lpwstr>
  </property>
  <property fmtid="{D5CDD505-2E9C-101B-9397-08002B2CF9AE}" pid="3" name="links">
    <vt:lpwstr/>
  </property>
  <property fmtid="{D5CDD505-2E9C-101B-9397-08002B2CF9AE}" pid="4" name="project">
    <vt:lpwstr>icarus-orbital-systems</vt:lpwstr>
  </property>
  <property fmtid="{D5CDD505-2E9C-101B-9397-08002B2CF9AE}" pid="5" name="tags">
    <vt:lpwstr/>
  </property>
</Properties>
</file>